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00574" w14:textId="77777777" w:rsidR="00A56151" w:rsidRDefault="00A56151" w:rsidP="00A56151">
      <w:pPr>
        <w:rPr>
          <w:rFonts w:ascii="Tahoma" w:hAnsi="Tahoma" w:cs="Tahoma"/>
          <w:b/>
          <w:bCs/>
          <w:szCs w:val="22"/>
        </w:rPr>
      </w:pPr>
    </w:p>
    <w:p w14:paraId="71BDE916" w14:textId="77777777" w:rsidR="00A56151" w:rsidRDefault="00A56151" w:rsidP="00A56151">
      <w:pPr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anchor distT="0" distB="0" distL="114300" distR="114300" simplePos="0" relativeHeight="251659264" behindDoc="0" locked="0" layoutInCell="1" allowOverlap="1" wp14:anchorId="0124AE20" wp14:editId="7738ACEE">
            <wp:simplePos x="0" y="0"/>
            <wp:positionH relativeFrom="column">
              <wp:posOffset>0</wp:posOffset>
            </wp:positionH>
            <wp:positionV relativeFrom="paragraph">
              <wp:posOffset>-302895</wp:posOffset>
            </wp:positionV>
            <wp:extent cx="2392680" cy="720725"/>
            <wp:effectExtent l="1905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A3E8CE" w14:textId="77777777" w:rsidR="00A56151" w:rsidRPr="00A56151" w:rsidRDefault="00A56151" w:rsidP="00A56151">
      <w:pPr>
        <w:rPr>
          <w:rFonts w:asciiTheme="minorHAnsi" w:hAnsiTheme="minorHAnsi" w:cstheme="minorHAnsi"/>
          <w:b/>
          <w:bCs/>
          <w:sz w:val="24"/>
        </w:rPr>
      </w:pPr>
    </w:p>
    <w:p w14:paraId="3426EB65" w14:textId="77777777" w:rsidR="00A56151" w:rsidRPr="00A56151" w:rsidRDefault="00A56151" w:rsidP="00A56151">
      <w:pPr>
        <w:spacing w:after="0"/>
        <w:rPr>
          <w:rFonts w:asciiTheme="minorHAnsi" w:hAnsiTheme="minorHAnsi" w:cstheme="minorHAnsi"/>
          <w:b/>
          <w:bCs/>
          <w:sz w:val="24"/>
          <w:lang w:val="pt-BR"/>
        </w:rPr>
      </w:pPr>
      <w:r w:rsidRPr="00A56151">
        <w:rPr>
          <w:rFonts w:asciiTheme="minorHAnsi" w:hAnsiTheme="minorHAnsi" w:cstheme="minorHAnsi"/>
          <w:b/>
          <w:bCs/>
          <w:sz w:val="24"/>
          <w:lang w:val="pt-BR"/>
        </w:rPr>
        <w:t>INSTITUTO DE HISTÓRIA</w:t>
      </w:r>
    </w:p>
    <w:p w14:paraId="5421633F" w14:textId="77777777" w:rsidR="00A56151" w:rsidRPr="00A56151" w:rsidRDefault="00A56151" w:rsidP="00A56151">
      <w:pPr>
        <w:spacing w:after="0"/>
        <w:rPr>
          <w:rFonts w:asciiTheme="minorHAnsi" w:hAnsiTheme="minorHAnsi" w:cstheme="minorHAnsi"/>
          <w:b/>
          <w:bCs/>
          <w:sz w:val="24"/>
          <w:lang w:val="pt-BR"/>
        </w:rPr>
      </w:pPr>
      <w:r w:rsidRPr="00A56151">
        <w:rPr>
          <w:rFonts w:asciiTheme="minorHAnsi" w:hAnsiTheme="minorHAnsi" w:cstheme="minorHAnsi"/>
          <w:b/>
          <w:bCs/>
          <w:sz w:val="24"/>
          <w:lang w:val="pt-BR"/>
        </w:rPr>
        <w:t>Área de História</w:t>
      </w:r>
    </w:p>
    <w:p w14:paraId="1FE954C3" w14:textId="77777777" w:rsidR="00A56151" w:rsidRPr="00A56151" w:rsidRDefault="00A56151" w:rsidP="00A56151">
      <w:pPr>
        <w:spacing w:after="0"/>
        <w:rPr>
          <w:rFonts w:asciiTheme="minorHAnsi" w:hAnsiTheme="minorHAnsi" w:cstheme="minorHAnsi"/>
          <w:b/>
          <w:bCs/>
          <w:sz w:val="24"/>
          <w:lang w:val="pt-BR"/>
        </w:rPr>
      </w:pPr>
      <w:r w:rsidRPr="00A56151">
        <w:rPr>
          <w:rFonts w:asciiTheme="minorHAnsi" w:hAnsiTheme="minorHAnsi" w:cstheme="minorHAnsi"/>
          <w:b/>
          <w:bCs/>
          <w:sz w:val="24"/>
          <w:lang w:val="pt-BR"/>
        </w:rPr>
        <w:t>Departamento de História / Curso de Graduação em História</w:t>
      </w:r>
    </w:p>
    <w:p w14:paraId="55656D64" w14:textId="77777777" w:rsidR="00A56151" w:rsidRPr="00A56151" w:rsidRDefault="00A56151" w:rsidP="00A56151">
      <w:pPr>
        <w:spacing w:after="0"/>
        <w:rPr>
          <w:rFonts w:asciiTheme="minorHAnsi" w:hAnsiTheme="minorHAnsi" w:cstheme="minorHAnsi"/>
          <w:bCs/>
          <w:sz w:val="24"/>
          <w:lang w:val="pt-BR"/>
        </w:rPr>
      </w:pPr>
      <w:r w:rsidRPr="00A56151">
        <w:rPr>
          <w:rFonts w:asciiTheme="minorHAnsi" w:hAnsiTheme="minorHAnsi" w:cstheme="minorHAnsi"/>
          <w:b/>
          <w:bCs/>
          <w:sz w:val="24"/>
          <w:lang w:val="pt-BR"/>
        </w:rPr>
        <w:t xml:space="preserve">Professor: </w:t>
      </w:r>
      <w:r w:rsidRPr="00A56151">
        <w:rPr>
          <w:rFonts w:asciiTheme="minorHAnsi" w:hAnsiTheme="minorHAnsi" w:cstheme="minorHAnsi"/>
          <w:bCs/>
          <w:sz w:val="24"/>
          <w:lang w:val="pt-BR"/>
        </w:rPr>
        <w:t>SILVIA PATUZZI</w:t>
      </w:r>
    </w:p>
    <w:p w14:paraId="2F228A25" w14:textId="77777777" w:rsidR="00A56151" w:rsidRPr="00A56151" w:rsidRDefault="00A56151" w:rsidP="00A5615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lang w:val="pt-BR"/>
        </w:rPr>
      </w:pPr>
      <w:r w:rsidRPr="00A56151">
        <w:rPr>
          <w:rFonts w:asciiTheme="minorHAnsi" w:hAnsiTheme="minorHAnsi" w:cstheme="minorHAnsi"/>
          <w:b/>
          <w:bCs/>
          <w:lang w:val="pt-BR"/>
        </w:rPr>
        <w:t xml:space="preserve">Disciplina: </w:t>
      </w:r>
      <w:proofErr w:type="spellStart"/>
      <w:r w:rsidRPr="00946A39">
        <w:rPr>
          <w:rFonts w:asciiTheme="minorHAnsi" w:hAnsiTheme="minorHAnsi" w:cstheme="minorHAnsi"/>
          <w:b/>
          <w:i/>
          <w:color w:val="C00000"/>
          <w:lang w:val="pt-BR"/>
        </w:rPr>
        <w:t>Críticos</w:t>
      </w:r>
      <w:proofErr w:type="spellEnd"/>
      <w:r w:rsidRPr="00946A39">
        <w:rPr>
          <w:rFonts w:asciiTheme="minorHAnsi" w:hAnsiTheme="minorHAnsi" w:cstheme="minorHAnsi"/>
          <w:b/>
          <w:i/>
          <w:color w:val="C00000"/>
          <w:lang w:val="pt-BR"/>
        </w:rPr>
        <w:t xml:space="preserve">, reformadores e </w:t>
      </w:r>
      <w:proofErr w:type="spellStart"/>
      <w:r w:rsidRPr="00946A39">
        <w:rPr>
          <w:rFonts w:asciiTheme="minorHAnsi" w:hAnsiTheme="minorHAnsi" w:cstheme="minorHAnsi"/>
          <w:b/>
          <w:i/>
          <w:color w:val="C00000"/>
          <w:lang w:val="pt-BR"/>
        </w:rPr>
        <w:t>revolucionários</w:t>
      </w:r>
      <w:proofErr w:type="spellEnd"/>
      <w:r w:rsidRPr="00946A39">
        <w:rPr>
          <w:rFonts w:asciiTheme="minorHAnsi" w:hAnsiTheme="minorHAnsi" w:cstheme="minorHAnsi"/>
          <w:b/>
          <w:i/>
          <w:color w:val="C00000"/>
          <w:lang w:val="pt-BR"/>
        </w:rPr>
        <w:t>: da legitimidade para a legalidade</w:t>
      </w:r>
      <w:r w:rsidRPr="00946A39">
        <w:rPr>
          <w:rFonts w:asciiTheme="minorHAnsi" w:hAnsiTheme="minorHAnsi" w:cstheme="minorHAnsi"/>
          <w:b/>
          <w:color w:val="C00000"/>
          <w:lang w:val="pt-BR"/>
        </w:rPr>
        <w:t>.</w:t>
      </w:r>
    </w:p>
    <w:p w14:paraId="5B1A67BC" w14:textId="77777777" w:rsidR="00A56151" w:rsidRPr="00A56151" w:rsidRDefault="00A56151" w:rsidP="00A56151">
      <w:pPr>
        <w:spacing w:after="0"/>
        <w:rPr>
          <w:rFonts w:asciiTheme="minorHAnsi" w:hAnsiTheme="minorHAnsi" w:cstheme="minorHAnsi"/>
          <w:bCs/>
          <w:sz w:val="24"/>
          <w:lang w:val="pt-BR"/>
        </w:rPr>
      </w:pPr>
      <w:r w:rsidRPr="00A56151">
        <w:rPr>
          <w:rFonts w:asciiTheme="minorHAnsi" w:hAnsiTheme="minorHAnsi" w:cstheme="minorHAnsi"/>
          <w:b/>
          <w:bCs/>
          <w:sz w:val="24"/>
          <w:lang w:val="pt-BR"/>
        </w:rPr>
        <w:t xml:space="preserve">Tipo: </w:t>
      </w:r>
      <w:r w:rsidRPr="00A56151">
        <w:rPr>
          <w:rFonts w:asciiTheme="minorHAnsi" w:hAnsiTheme="minorHAnsi" w:cstheme="minorHAnsi"/>
          <w:bCs/>
          <w:sz w:val="24"/>
          <w:lang w:val="pt-BR"/>
        </w:rPr>
        <w:t xml:space="preserve">Disciplina </w:t>
      </w:r>
      <w:r w:rsidR="00702A3E">
        <w:rPr>
          <w:rFonts w:asciiTheme="minorHAnsi" w:hAnsiTheme="minorHAnsi" w:cstheme="minorHAnsi"/>
          <w:bCs/>
          <w:sz w:val="24"/>
          <w:lang w:val="pt-BR"/>
        </w:rPr>
        <w:t>optativa</w:t>
      </w:r>
    </w:p>
    <w:p w14:paraId="1F0A7D47" w14:textId="60763B26" w:rsidR="00A56151" w:rsidRPr="00A56151" w:rsidRDefault="00A56151" w:rsidP="00A56151">
      <w:pPr>
        <w:spacing w:after="0"/>
        <w:rPr>
          <w:rFonts w:asciiTheme="minorHAnsi" w:hAnsiTheme="minorHAnsi" w:cstheme="minorHAnsi"/>
          <w:b/>
          <w:bCs/>
          <w:sz w:val="24"/>
          <w:lang w:val="pt-BR"/>
        </w:rPr>
      </w:pPr>
      <w:r w:rsidRPr="00A56151">
        <w:rPr>
          <w:rFonts w:asciiTheme="minorHAnsi" w:hAnsiTheme="minorHAnsi" w:cstheme="minorHAnsi"/>
          <w:b/>
          <w:bCs/>
          <w:sz w:val="24"/>
          <w:lang w:val="pt-BR"/>
        </w:rPr>
        <w:t xml:space="preserve">Período: </w:t>
      </w:r>
      <w:r w:rsidRPr="00A56151">
        <w:rPr>
          <w:rFonts w:asciiTheme="minorHAnsi" w:hAnsiTheme="minorHAnsi" w:cstheme="minorHAnsi"/>
          <w:bCs/>
          <w:sz w:val="24"/>
          <w:lang w:val="pt-BR"/>
        </w:rPr>
        <w:t>0</w:t>
      </w:r>
      <w:r w:rsidR="004C5064">
        <w:rPr>
          <w:rFonts w:asciiTheme="minorHAnsi" w:hAnsiTheme="minorHAnsi" w:cstheme="minorHAnsi"/>
          <w:bCs/>
          <w:sz w:val="24"/>
          <w:lang w:val="pt-BR"/>
        </w:rPr>
        <w:t>2</w:t>
      </w:r>
      <w:r w:rsidRPr="00A56151">
        <w:rPr>
          <w:rFonts w:asciiTheme="minorHAnsi" w:hAnsiTheme="minorHAnsi" w:cstheme="minorHAnsi"/>
          <w:bCs/>
          <w:sz w:val="24"/>
          <w:lang w:val="pt-BR"/>
        </w:rPr>
        <w:t>/202</w:t>
      </w:r>
      <w:r w:rsidR="004C5064">
        <w:rPr>
          <w:rFonts w:asciiTheme="minorHAnsi" w:hAnsiTheme="minorHAnsi" w:cstheme="minorHAnsi"/>
          <w:bCs/>
          <w:sz w:val="24"/>
          <w:lang w:val="pt-BR"/>
        </w:rPr>
        <w:t>6</w:t>
      </w:r>
      <w:r w:rsidR="00946A39">
        <w:rPr>
          <w:rFonts w:asciiTheme="minorHAnsi" w:hAnsiTheme="minorHAnsi" w:cstheme="minorHAnsi"/>
          <w:b/>
          <w:bCs/>
          <w:sz w:val="24"/>
          <w:lang w:val="pt-BR"/>
        </w:rPr>
        <w:t xml:space="preserve">   </w:t>
      </w:r>
      <w:r w:rsidR="004C5064">
        <w:rPr>
          <w:rFonts w:asciiTheme="minorHAnsi" w:hAnsiTheme="minorHAnsi" w:cstheme="minorHAnsi"/>
          <w:b/>
          <w:bCs/>
          <w:sz w:val="24"/>
          <w:lang w:val="pt-BR"/>
        </w:rPr>
        <w:t>Código</w:t>
      </w:r>
      <w:r w:rsidRPr="00A56151">
        <w:rPr>
          <w:rFonts w:asciiTheme="minorHAnsi" w:hAnsiTheme="minorHAnsi" w:cstheme="minorHAnsi"/>
          <w:b/>
          <w:bCs/>
          <w:sz w:val="24"/>
          <w:lang w:val="pt-BR"/>
        </w:rPr>
        <w:t xml:space="preserve">: </w:t>
      </w:r>
      <w:r w:rsidR="004C5064" w:rsidRPr="000238BF">
        <w:t>GHT00684</w:t>
      </w:r>
      <w:r w:rsidRPr="00A56151">
        <w:rPr>
          <w:rFonts w:asciiTheme="minorHAnsi" w:hAnsiTheme="minorHAnsi" w:cstheme="minorHAnsi"/>
          <w:b/>
          <w:bCs/>
          <w:sz w:val="24"/>
          <w:lang w:val="pt-BR"/>
        </w:rPr>
        <w:t xml:space="preserve"> </w:t>
      </w:r>
      <w:r w:rsidR="00946A39">
        <w:rPr>
          <w:rFonts w:asciiTheme="minorHAnsi" w:hAnsiTheme="minorHAnsi" w:cstheme="minorHAnsi"/>
          <w:b/>
          <w:bCs/>
          <w:sz w:val="24"/>
          <w:lang w:val="pt-BR"/>
        </w:rPr>
        <w:t xml:space="preserve">  </w:t>
      </w:r>
      <w:r w:rsidRPr="00A56151">
        <w:rPr>
          <w:rFonts w:asciiTheme="minorHAnsi" w:hAnsiTheme="minorHAnsi" w:cstheme="minorHAnsi"/>
          <w:b/>
          <w:bCs/>
          <w:sz w:val="24"/>
          <w:lang w:val="pt-BR"/>
        </w:rPr>
        <w:t xml:space="preserve">Turno: </w:t>
      </w:r>
      <w:r w:rsidR="004C5064">
        <w:rPr>
          <w:rFonts w:asciiTheme="minorHAnsi" w:hAnsiTheme="minorHAnsi" w:cstheme="minorHAnsi"/>
          <w:bCs/>
          <w:sz w:val="24"/>
          <w:lang w:val="pt-BR"/>
        </w:rPr>
        <w:t>Noite (sexta-feira, 18:00-22:00)</w:t>
      </w:r>
    </w:p>
    <w:p w14:paraId="7074C86F" w14:textId="77777777" w:rsidR="00A56151" w:rsidRPr="00A56151" w:rsidRDefault="00A56151" w:rsidP="00A56151">
      <w:pPr>
        <w:pStyle w:val="H3"/>
        <w:keepNext w:val="0"/>
        <w:spacing w:before="0" w:after="0"/>
        <w:outlineLvl w:val="9"/>
        <w:rPr>
          <w:rFonts w:asciiTheme="minorHAnsi" w:hAnsiTheme="minorHAnsi" w:cstheme="minorHAnsi"/>
          <w:bCs/>
          <w:snapToGrid/>
          <w:sz w:val="24"/>
          <w:szCs w:val="24"/>
        </w:rPr>
      </w:pPr>
    </w:p>
    <w:p w14:paraId="4B3A3AA4" w14:textId="77777777" w:rsidR="00A56151" w:rsidRDefault="00A56151" w:rsidP="00A56151">
      <w:pPr>
        <w:jc w:val="center"/>
        <w:rPr>
          <w:rFonts w:asciiTheme="minorHAnsi" w:hAnsiTheme="minorHAnsi" w:cstheme="minorHAnsi"/>
          <w:sz w:val="24"/>
          <w:lang w:val="pt-BR"/>
        </w:rPr>
      </w:pPr>
    </w:p>
    <w:p w14:paraId="13E88A36" w14:textId="77777777" w:rsidR="00A56151" w:rsidRPr="00946A39" w:rsidRDefault="00A56151" w:rsidP="00946A39">
      <w:pPr>
        <w:ind w:left="5387"/>
        <w:jc w:val="right"/>
        <w:rPr>
          <w:rFonts w:asciiTheme="minorHAnsi" w:hAnsiTheme="minorHAnsi" w:cstheme="minorHAnsi"/>
          <w:i/>
          <w:sz w:val="24"/>
          <w:lang w:val="pt-BR"/>
        </w:rPr>
      </w:pPr>
      <w:r w:rsidRPr="00946A39">
        <w:rPr>
          <w:rFonts w:asciiTheme="minorHAnsi" w:hAnsiTheme="minorHAnsi" w:cstheme="minorHAnsi"/>
          <w:i/>
          <w:sz w:val="24"/>
          <w:lang w:val="pt-BR"/>
        </w:rPr>
        <w:t>Para pensar o futuro precisa-se da mesma disposição do revolucionário</w:t>
      </w:r>
      <w:r w:rsidR="00946A39" w:rsidRPr="00946A39">
        <w:rPr>
          <w:rFonts w:asciiTheme="minorHAnsi" w:hAnsiTheme="minorHAnsi" w:cstheme="minorHAnsi"/>
          <w:i/>
          <w:sz w:val="24"/>
          <w:lang w:val="pt-BR"/>
        </w:rPr>
        <w:t>: conjecturar entre imaginação e possibilidade</w:t>
      </w:r>
    </w:p>
    <w:p w14:paraId="5B0AEAEB" w14:textId="77777777" w:rsidR="009D6D93" w:rsidRDefault="009D6D93" w:rsidP="00A56151">
      <w:pPr>
        <w:spacing w:after="120" w:line="240" w:lineRule="auto"/>
        <w:rPr>
          <w:rFonts w:asciiTheme="minorHAnsi" w:hAnsiTheme="minorHAnsi" w:cstheme="minorHAnsi"/>
          <w:b/>
          <w:szCs w:val="22"/>
          <w:lang w:val="pt-BR"/>
        </w:rPr>
      </w:pPr>
      <w:r w:rsidRPr="009D6D93">
        <w:rPr>
          <w:rFonts w:asciiTheme="minorHAnsi" w:hAnsiTheme="minorHAnsi" w:cstheme="minorHAnsi"/>
          <w:b/>
          <w:noProof/>
          <w:szCs w:val="22"/>
          <w:lang w:val="pt-BR"/>
        </w:rPr>
        <w:drawing>
          <wp:inline distT="0" distB="0" distL="0" distR="0" wp14:anchorId="544F2637" wp14:editId="7B79E5D1">
            <wp:extent cx="6116320" cy="3194050"/>
            <wp:effectExtent l="0" t="0" r="508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32724" w14:textId="77777777" w:rsidR="009D6D93" w:rsidRDefault="009D6D93" w:rsidP="00A56151">
      <w:pPr>
        <w:spacing w:after="120" w:line="240" w:lineRule="auto"/>
        <w:rPr>
          <w:rFonts w:asciiTheme="minorHAnsi" w:hAnsiTheme="minorHAnsi" w:cstheme="minorHAnsi"/>
          <w:b/>
          <w:szCs w:val="22"/>
          <w:lang w:val="pt-BR"/>
        </w:rPr>
      </w:pPr>
    </w:p>
    <w:p w14:paraId="41616DE3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b/>
          <w:szCs w:val="22"/>
          <w:lang w:val="pt-BR"/>
        </w:rPr>
      </w:pPr>
      <w:r w:rsidRPr="00A56151">
        <w:rPr>
          <w:rFonts w:asciiTheme="minorHAnsi" w:hAnsiTheme="minorHAnsi" w:cstheme="minorHAnsi"/>
          <w:b/>
          <w:szCs w:val="22"/>
          <w:lang w:val="pt-BR"/>
        </w:rPr>
        <w:t>I – EMENTA</w:t>
      </w:r>
    </w:p>
    <w:p w14:paraId="51C18730" w14:textId="77777777" w:rsidR="00A56151" w:rsidRPr="00A56151" w:rsidRDefault="00A56151" w:rsidP="00A56151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A disciplina aborda os debates elaborados pela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crítica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ilustrada e o desenvolvimento das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condições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históricas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para a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contestação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revolucionária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das formas de soberania absoluta na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Época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Moderna.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Serão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examinados os processos de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contestação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da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personificação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histórica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da estrutura de poder constitutiva do Estado absoluto na figura do monarca e a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erosão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da figura do Estado como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árbitro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das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consciências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,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necessário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à paz religiosa.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Também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sera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́ examinada a passagem, concomitante da sociedade estamental para a moderna sociedade civil, evidenciava por uma crescente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consciência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de classe dos segmentos que a compunham, particularmente dos setores ilustrados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intermediários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e da burguesia mercantil, para quem tornava-se cada vez menos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necessária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a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personificação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do poder na figura do monarca e cada vez mais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indispensável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a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lastRenderedPageBreak/>
        <w:t>normatização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de um poder regulador (a lei).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Serão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selecionados alguns casos nos quais é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possível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estudar a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evolução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histórica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das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relações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de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força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no interior da sociedade do Antigo Regime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ate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́ a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emergência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das crises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revolucionárias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, quando o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exercício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da autoridade soberana é transferido da esfera da legitimidade </w:t>
      </w:r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para a da legalidade:</w:t>
      </w:r>
      <w:r w:rsidR="009D6D93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</w:t>
      </w:r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as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revoluções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inglesas de 1640/49 e de 1688; os debates e conflitos no contexto da </w:t>
      </w:r>
      <w:proofErr w:type="spellStart"/>
      <w:r w:rsidRPr="00A56151">
        <w:rPr>
          <w:rFonts w:asciiTheme="minorHAnsi" w:hAnsiTheme="minorHAnsi" w:cstheme="minorHAnsi"/>
          <w:sz w:val="22"/>
          <w:szCs w:val="22"/>
          <w:lang w:val="pt-BR"/>
        </w:rPr>
        <w:t>restauração</w:t>
      </w:r>
      <w:proofErr w:type="spellEnd"/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 em Portugal e Espanha</w:t>
      </w:r>
      <w:r w:rsidR="009D6D93">
        <w:rPr>
          <w:rFonts w:asciiTheme="minorHAnsi" w:hAnsiTheme="minorHAnsi" w:cstheme="minorHAnsi"/>
          <w:sz w:val="22"/>
          <w:szCs w:val="22"/>
          <w:lang w:val="pt-BR"/>
        </w:rPr>
        <w:t xml:space="preserve"> e a emergência da ação revolucionária como um fato positivo em 1789</w:t>
      </w:r>
      <w:r w:rsidRPr="00A56151">
        <w:rPr>
          <w:rFonts w:asciiTheme="minorHAnsi" w:hAnsiTheme="minorHAnsi" w:cstheme="minorHAnsi"/>
          <w:sz w:val="22"/>
          <w:szCs w:val="22"/>
          <w:lang w:val="pt-BR"/>
        </w:rPr>
        <w:t xml:space="preserve">. </w:t>
      </w:r>
    </w:p>
    <w:p w14:paraId="086C2198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b/>
          <w:szCs w:val="22"/>
          <w:lang w:val="pt-BR"/>
        </w:rPr>
      </w:pPr>
    </w:p>
    <w:p w14:paraId="37517FF0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b/>
          <w:szCs w:val="22"/>
          <w:lang w:val="pt-BR"/>
        </w:rPr>
      </w:pPr>
      <w:r w:rsidRPr="00A56151">
        <w:rPr>
          <w:rFonts w:asciiTheme="minorHAnsi" w:hAnsiTheme="minorHAnsi" w:cstheme="minorHAnsi"/>
          <w:b/>
          <w:szCs w:val="22"/>
          <w:lang w:val="pt-BR"/>
        </w:rPr>
        <w:t>II– OBJETIVOS</w:t>
      </w:r>
    </w:p>
    <w:p w14:paraId="4CA5EB1C" w14:textId="77777777" w:rsidR="00A56151" w:rsidRPr="00A56151" w:rsidRDefault="00A56151" w:rsidP="00A56151">
      <w:pPr>
        <w:pStyle w:val="NormalWeb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Examinar a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evolução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histórica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da sociedade do Antigo Regime na segunda fase da Idade Moderna (XVII- XVIII); </w:t>
      </w:r>
      <w:proofErr w:type="gram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Analisar</w:t>
      </w:r>
      <w:proofErr w:type="gram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a crise do Seiscentos e </w:t>
      </w:r>
      <w:r w:rsidR="009D6D93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a emergência do conceito de cidadania, reapropriado da Política de Aristóteles e associado ao critério da representatividade e da legalidade. </w:t>
      </w:r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Apresentar a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história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das formas adquiridas pelo estado moderno absolutista, constitucional e iluminista até a sua crise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revolucionária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; </w:t>
      </w:r>
      <w:proofErr w:type="gram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Compreender</w:t>
      </w:r>
      <w:proofErr w:type="gram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a passagem da esfera da legitimidade para a esfera da legalidade. </w:t>
      </w:r>
    </w:p>
    <w:p w14:paraId="1439719C" w14:textId="77777777" w:rsidR="00946A39" w:rsidRPr="00A56151" w:rsidRDefault="00946A39" w:rsidP="00A56151">
      <w:pPr>
        <w:spacing w:after="120" w:line="240" w:lineRule="auto"/>
        <w:rPr>
          <w:rFonts w:asciiTheme="minorHAnsi" w:hAnsiTheme="minorHAnsi" w:cstheme="minorHAnsi"/>
          <w:b/>
          <w:szCs w:val="22"/>
          <w:lang w:val="pt-BR"/>
        </w:rPr>
      </w:pPr>
    </w:p>
    <w:p w14:paraId="7AC81861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b/>
          <w:szCs w:val="22"/>
          <w:lang w:val="pt-BR"/>
        </w:rPr>
      </w:pPr>
      <w:r w:rsidRPr="00A56151">
        <w:rPr>
          <w:rFonts w:asciiTheme="minorHAnsi" w:hAnsiTheme="minorHAnsi" w:cstheme="minorHAnsi"/>
          <w:b/>
          <w:szCs w:val="22"/>
          <w:lang w:val="pt-BR"/>
        </w:rPr>
        <w:t>III - CONTEÚDO PROGRAMÁTICO</w:t>
      </w:r>
    </w:p>
    <w:p w14:paraId="695C2F9B" w14:textId="77777777" w:rsidR="00946A39" w:rsidRDefault="00A56151" w:rsidP="00A56151">
      <w:pPr>
        <w:spacing w:after="120" w:line="240" w:lineRule="auto"/>
        <w:jc w:val="both"/>
        <w:rPr>
          <w:rFonts w:asciiTheme="minorHAnsi" w:hAnsiTheme="minorHAnsi" w:cstheme="minorHAnsi"/>
          <w:b/>
          <w:szCs w:val="22"/>
          <w:lang w:val="pt-BR"/>
        </w:rPr>
      </w:pPr>
      <w:r w:rsidRPr="00A56151">
        <w:rPr>
          <w:rFonts w:asciiTheme="minorHAnsi" w:hAnsiTheme="minorHAnsi" w:cstheme="minorHAnsi"/>
          <w:b/>
          <w:szCs w:val="22"/>
          <w:lang w:val="pt-BR"/>
        </w:rPr>
        <w:t xml:space="preserve">I: </w:t>
      </w:r>
      <w:r w:rsidR="00946A39" w:rsidRPr="00946A39">
        <w:rPr>
          <w:rFonts w:asciiTheme="minorHAnsi" w:hAnsiTheme="minorHAnsi" w:cstheme="minorHAnsi"/>
          <w:b/>
          <w:szCs w:val="22"/>
          <w:lang w:val="pt-BR"/>
        </w:rPr>
        <w:t>O perfil do revolucionário</w:t>
      </w:r>
      <w:r w:rsidR="00C574F8">
        <w:rPr>
          <w:rFonts w:asciiTheme="minorHAnsi" w:hAnsiTheme="minorHAnsi" w:cstheme="minorHAnsi"/>
          <w:b/>
          <w:szCs w:val="22"/>
          <w:lang w:val="pt-BR"/>
        </w:rPr>
        <w:t xml:space="preserve"> entre antigos e modernos</w:t>
      </w:r>
    </w:p>
    <w:p w14:paraId="109B3C95" w14:textId="77777777" w:rsidR="00A56151" w:rsidRDefault="00946A39" w:rsidP="0032662B">
      <w:pPr>
        <w:pStyle w:val="PargrafodaLista"/>
        <w:numPr>
          <w:ilvl w:val="0"/>
          <w:numId w:val="1"/>
        </w:numPr>
        <w:spacing w:after="120" w:line="240" w:lineRule="auto"/>
        <w:rPr>
          <w:rFonts w:asciiTheme="minorHAnsi" w:hAnsiTheme="minorHAnsi" w:cstheme="minorHAnsi"/>
          <w:szCs w:val="22"/>
          <w:lang w:val="pt-BR"/>
        </w:rPr>
      </w:pPr>
      <w:r w:rsidRPr="0032662B">
        <w:rPr>
          <w:rFonts w:asciiTheme="minorHAnsi" w:hAnsiTheme="minorHAnsi" w:cstheme="minorHAnsi"/>
          <w:color w:val="0070C0"/>
          <w:szCs w:val="22"/>
          <w:lang w:val="pt-BR"/>
        </w:rPr>
        <w:t>Acabou a “era das revoluções?”</w:t>
      </w:r>
      <w:r>
        <w:rPr>
          <w:rFonts w:asciiTheme="minorHAnsi" w:hAnsiTheme="minorHAnsi" w:cstheme="minorHAnsi"/>
          <w:szCs w:val="22"/>
          <w:lang w:val="pt-BR"/>
        </w:rPr>
        <w:t xml:space="preserve"> Depende do que entendemos por “revolução” e por “revolucionário”.</w:t>
      </w:r>
    </w:p>
    <w:p w14:paraId="2E6FC97E" w14:textId="77777777" w:rsidR="00946A39" w:rsidRDefault="00573CF5" w:rsidP="00946A39">
      <w:pPr>
        <w:pStyle w:val="PargrafodaLista"/>
        <w:numPr>
          <w:ilvl w:val="0"/>
          <w:numId w:val="1"/>
        </w:numPr>
        <w:spacing w:after="120" w:line="240" w:lineRule="auto"/>
        <w:jc w:val="both"/>
        <w:rPr>
          <w:rFonts w:asciiTheme="minorHAnsi" w:hAnsiTheme="minorHAnsi" w:cstheme="minorHAnsi"/>
          <w:szCs w:val="22"/>
          <w:lang w:val="pt-BR"/>
        </w:rPr>
      </w:pPr>
      <w:r>
        <w:rPr>
          <w:rFonts w:asciiTheme="minorHAnsi" w:hAnsiTheme="minorHAnsi" w:cstheme="minorHAnsi"/>
          <w:szCs w:val="22"/>
          <w:lang w:val="pt-BR"/>
        </w:rPr>
        <w:t>Os Antigos – a r</w:t>
      </w:r>
      <w:r w:rsidR="00946A39">
        <w:rPr>
          <w:rFonts w:asciiTheme="minorHAnsi" w:hAnsiTheme="minorHAnsi" w:cstheme="minorHAnsi"/>
          <w:szCs w:val="22"/>
          <w:lang w:val="pt-BR"/>
        </w:rPr>
        <w:t xml:space="preserve">evolução como </w:t>
      </w:r>
      <w:r w:rsidR="00946A39" w:rsidRPr="00946A39">
        <w:rPr>
          <w:rFonts w:asciiTheme="minorHAnsi" w:hAnsiTheme="minorHAnsi" w:cstheme="minorHAnsi"/>
          <w:i/>
          <w:szCs w:val="22"/>
          <w:lang w:val="pt-BR"/>
        </w:rPr>
        <w:t>res nova</w:t>
      </w:r>
      <w:r w:rsidR="00946A39">
        <w:rPr>
          <w:rFonts w:asciiTheme="minorHAnsi" w:hAnsiTheme="minorHAnsi" w:cstheme="minorHAnsi"/>
          <w:szCs w:val="22"/>
          <w:lang w:val="pt-BR"/>
        </w:rPr>
        <w:t xml:space="preserve">: a lição de Catilina contada por </w:t>
      </w:r>
      <w:proofErr w:type="spellStart"/>
      <w:r w:rsidR="00946A39">
        <w:rPr>
          <w:rFonts w:asciiTheme="minorHAnsi" w:hAnsiTheme="minorHAnsi" w:cstheme="minorHAnsi"/>
          <w:szCs w:val="22"/>
          <w:lang w:val="pt-BR"/>
        </w:rPr>
        <w:t>Salústio</w:t>
      </w:r>
      <w:proofErr w:type="spellEnd"/>
    </w:p>
    <w:p w14:paraId="1191A471" w14:textId="77777777" w:rsidR="00946A39" w:rsidRDefault="00573CF5" w:rsidP="00946A39">
      <w:pPr>
        <w:pStyle w:val="PargrafodaLista"/>
        <w:numPr>
          <w:ilvl w:val="0"/>
          <w:numId w:val="1"/>
        </w:numPr>
        <w:spacing w:after="120" w:line="240" w:lineRule="auto"/>
        <w:jc w:val="both"/>
        <w:rPr>
          <w:rFonts w:asciiTheme="minorHAnsi" w:hAnsiTheme="minorHAnsi" w:cstheme="minorHAnsi"/>
          <w:szCs w:val="22"/>
          <w:lang w:val="pt-BR"/>
        </w:rPr>
      </w:pPr>
      <w:r>
        <w:rPr>
          <w:rFonts w:asciiTheme="minorHAnsi" w:hAnsiTheme="minorHAnsi" w:cstheme="minorHAnsi"/>
          <w:szCs w:val="22"/>
          <w:lang w:val="pt-BR"/>
        </w:rPr>
        <w:t>Os Modernos – a r</w:t>
      </w:r>
      <w:r w:rsidR="00946A39">
        <w:rPr>
          <w:rFonts w:asciiTheme="minorHAnsi" w:hAnsiTheme="minorHAnsi" w:cstheme="minorHAnsi"/>
          <w:szCs w:val="22"/>
          <w:lang w:val="pt-BR"/>
        </w:rPr>
        <w:t xml:space="preserve">evolução como </w:t>
      </w:r>
      <w:r>
        <w:rPr>
          <w:rFonts w:asciiTheme="minorHAnsi" w:hAnsiTheme="minorHAnsi" w:cstheme="minorHAnsi"/>
          <w:szCs w:val="22"/>
          <w:lang w:val="pt-BR"/>
        </w:rPr>
        <w:t>fato positivo: 1789</w:t>
      </w:r>
      <w:r w:rsidR="00C574F8">
        <w:rPr>
          <w:rFonts w:asciiTheme="minorHAnsi" w:hAnsiTheme="minorHAnsi" w:cstheme="minorHAnsi"/>
          <w:szCs w:val="22"/>
          <w:lang w:val="pt-BR"/>
        </w:rPr>
        <w:t xml:space="preserve">/1793 </w:t>
      </w:r>
      <w:r>
        <w:rPr>
          <w:rFonts w:asciiTheme="minorHAnsi" w:hAnsiTheme="minorHAnsi" w:cstheme="minorHAnsi"/>
          <w:szCs w:val="22"/>
          <w:lang w:val="pt-BR"/>
        </w:rPr>
        <w:t>e a revolução jacobina</w:t>
      </w:r>
    </w:p>
    <w:p w14:paraId="1B5E4956" w14:textId="77777777" w:rsidR="00C574F8" w:rsidRPr="00946A39" w:rsidRDefault="00C574F8" w:rsidP="00946A39">
      <w:pPr>
        <w:pStyle w:val="PargrafodaLista"/>
        <w:numPr>
          <w:ilvl w:val="0"/>
          <w:numId w:val="1"/>
        </w:numPr>
        <w:spacing w:after="120" w:line="240" w:lineRule="auto"/>
        <w:jc w:val="both"/>
        <w:rPr>
          <w:rFonts w:asciiTheme="minorHAnsi" w:hAnsiTheme="minorHAnsi" w:cstheme="minorHAnsi"/>
          <w:szCs w:val="22"/>
          <w:lang w:val="pt-BR"/>
        </w:rPr>
      </w:pPr>
      <w:r>
        <w:rPr>
          <w:rFonts w:asciiTheme="minorHAnsi" w:hAnsiTheme="minorHAnsi" w:cstheme="minorHAnsi"/>
          <w:szCs w:val="22"/>
          <w:lang w:val="pt-BR"/>
        </w:rPr>
        <w:t xml:space="preserve">O conceito de “cesarismo” de </w:t>
      </w:r>
      <w:proofErr w:type="spellStart"/>
      <w:r>
        <w:rPr>
          <w:rFonts w:asciiTheme="minorHAnsi" w:hAnsiTheme="minorHAnsi" w:cstheme="minorHAnsi"/>
          <w:szCs w:val="22"/>
          <w:lang w:val="pt-BR"/>
        </w:rPr>
        <w:t>Antonio</w:t>
      </w:r>
      <w:proofErr w:type="spellEnd"/>
      <w:r>
        <w:rPr>
          <w:rFonts w:asciiTheme="minorHAnsi" w:hAnsiTheme="minorHAnsi" w:cstheme="minorHAnsi"/>
          <w:szCs w:val="22"/>
          <w:lang w:val="pt-BR"/>
        </w:rPr>
        <w:t xml:space="preserve"> Gramsci</w:t>
      </w:r>
    </w:p>
    <w:p w14:paraId="0B302A42" w14:textId="77777777" w:rsidR="00946A39" w:rsidRPr="00A56151" w:rsidRDefault="00946A39" w:rsidP="00A56151">
      <w:pPr>
        <w:spacing w:after="120" w:line="240" w:lineRule="auto"/>
        <w:jc w:val="both"/>
        <w:rPr>
          <w:rFonts w:asciiTheme="minorHAnsi" w:hAnsiTheme="minorHAnsi" w:cstheme="minorHAnsi"/>
          <w:b/>
          <w:szCs w:val="22"/>
          <w:lang w:val="pt-BR"/>
        </w:rPr>
      </w:pPr>
    </w:p>
    <w:p w14:paraId="51D1DA6D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szCs w:val="22"/>
          <w:lang w:val="pt-BR"/>
        </w:rPr>
      </w:pPr>
      <w:r w:rsidRPr="00A56151">
        <w:rPr>
          <w:rFonts w:asciiTheme="minorHAnsi" w:hAnsiTheme="minorHAnsi" w:cstheme="minorHAnsi"/>
          <w:b/>
          <w:szCs w:val="22"/>
          <w:lang w:val="pt-BR"/>
        </w:rPr>
        <w:t>II- Críticos, reformadores e revolucionários na Europa das Cortes (1</w:t>
      </w:r>
      <w:r w:rsidR="009D6D93">
        <w:rPr>
          <w:rFonts w:asciiTheme="minorHAnsi" w:hAnsiTheme="minorHAnsi" w:cstheme="minorHAnsi"/>
          <w:b/>
          <w:szCs w:val="22"/>
          <w:lang w:val="pt-BR"/>
        </w:rPr>
        <w:t>620</w:t>
      </w:r>
      <w:r w:rsidRPr="00A56151">
        <w:rPr>
          <w:rFonts w:asciiTheme="minorHAnsi" w:hAnsiTheme="minorHAnsi" w:cstheme="minorHAnsi"/>
          <w:b/>
          <w:szCs w:val="22"/>
          <w:lang w:val="pt-BR"/>
        </w:rPr>
        <w:t>-17</w:t>
      </w:r>
      <w:r w:rsidR="009D6D93">
        <w:rPr>
          <w:rFonts w:asciiTheme="minorHAnsi" w:hAnsiTheme="minorHAnsi" w:cstheme="minorHAnsi"/>
          <w:b/>
          <w:szCs w:val="22"/>
          <w:lang w:val="pt-BR"/>
        </w:rPr>
        <w:t>89</w:t>
      </w:r>
      <w:r w:rsidRPr="00A56151">
        <w:rPr>
          <w:rFonts w:asciiTheme="minorHAnsi" w:hAnsiTheme="minorHAnsi" w:cstheme="minorHAnsi"/>
          <w:b/>
          <w:szCs w:val="22"/>
          <w:lang w:val="pt-BR"/>
        </w:rPr>
        <w:t>).</w:t>
      </w:r>
    </w:p>
    <w:p w14:paraId="7AB56721" w14:textId="77777777" w:rsidR="00C574F8" w:rsidRPr="0032662B" w:rsidRDefault="00C574F8" w:rsidP="00C574F8">
      <w:pPr>
        <w:pStyle w:val="PargrafodaLista"/>
        <w:numPr>
          <w:ilvl w:val="0"/>
          <w:numId w:val="2"/>
        </w:numPr>
        <w:spacing w:after="120" w:line="240" w:lineRule="auto"/>
        <w:rPr>
          <w:rFonts w:asciiTheme="minorHAnsi" w:hAnsiTheme="minorHAnsi" w:cstheme="minorHAnsi"/>
          <w:color w:val="0070C0"/>
          <w:szCs w:val="22"/>
          <w:lang w:val="pt-BR"/>
        </w:rPr>
      </w:pPr>
      <w:r w:rsidRPr="0032662B">
        <w:rPr>
          <w:rFonts w:asciiTheme="minorHAnsi" w:hAnsiTheme="minorHAnsi" w:cstheme="minorHAnsi"/>
          <w:color w:val="0070C0"/>
          <w:szCs w:val="22"/>
          <w:lang w:val="pt-BR"/>
        </w:rPr>
        <w:t>Como emerge o conceito de cidadania e o duplo valor a ele associado, de inclusão/exclusão?</w:t>
      </w:r>
    </w:p>
    <w:p w14:paraId="1C424D88" w14:textId="77777777" w:rsidR="00C574F8" w:rsidRDefault="00C574F8" w:rsidP="00C574F8">
      <w:pPr>
        <w:pStyle w:val="PargrafodaLista"/>
        <w:numPr>
          <w:ilvl w:val="0"/>
          <w:numId w:val="2"/>
        </w:numPr>
        <w:spacing w:after="120" w:line="240" w:lineRule="auto"/>
        <w:rPr>
          <w:rFonts w:asciiTheme="minorHAnsi" w:hAnsiTheme="minorHAnsi" w:cstheme="minorHAnsi"/>
          <w:szCs w:val="22"/>
          <w:lang w:val="pt-BR"/>
        </w:rPr>
      </w:pPr>
      <w:r>
        <w:rPr>
          <w:rFonts w:asciiTheme="minorHAnsi" w:hAnsiTheme="minorHAnsi" w:cstheme="minorHAnsi"/>
          <w:szCs w:val="22"/>
          <w:lang w:val="pt-BR"/>
        </w:rPr>
        <w:t>O cidadão em Aristóteles, critérios de inclusão e de exclusão (Politica, III)</w:t>
      </w:r>
    </w:p>
    <w:p w14:paraId="36A52DA7" w14:textId="77777777" w:rsidR="00C574F8" w:rsidRDefault="00A56151" w:rsidP="00A56151">
      <w:pPr>
        <w:pStyle w:val="PargrafodaLista"/>
        <w:numPr>
          <w:ilvl w:val="0"/>
          <w:numId w:val="2"/>
        </w:numPr>
        <w:spacing w:after="120" w:line="240" w:lineRule="auto"/>
        <w:rPr>
          <w:rFonts w:asciiTheme="minorHAnsi" w:hAnsiTheme="minorHAnsi" w:cstheme="minorHAnsi"/>
          <w:szCs w:val="22"/>
          <w:lang w:val="pt-BR"/>
        </w:rPr>
      </w:pPr>
      <w:r w:rsidRPr="00C574F8">
        <w:rPr>
          <w:rFonts w:asciiTheme="minorHAnsi" w:hAnsiTheme="minorHAnsi" w:cstheme="minorHAnsi"/>
          <w:szCs w:val="22"/>
          <w:lang w:val="pt-BR"/>
        </w:rPr>
        <w:t>As Revoluções Inglesas</w:t>
      </w:r>
      <w:r w:rsidR="00C574F8" w:rsidRPr="00C574F8">
        <w:rPr>
          <w:rFonts w:asciiTheme="minorHAnsi" w:hAnsiTheme="minorHAnsi" w:cstheme="minorHAnsi"/>
          <w:szCs w:val="22"/>
          <w:lang w:val="pt-BR"/>
        </w:rPr>
        <w:t>: puritanismo e constitucionalismo (</w:t>
      </w:r>
      <w:r w:rsidR="00C574F8">
        <w:rPr>
          <w:rFonts w:asciiTheme="minorHAnsi" w:hAnsiTheme="minorHAnsi" w:cstheme="minorHAnsi"/>
          <w:szCs w:val="22"/>
          <w:lang w:val="pt-BR"/>
        </w:rPr>
        <w:t xml:space="preserve">os </w:t>
      </w:r>
      <w:proofErr w:type="spellStart"/>
      <w:r w:rsidR="00C574F8" w:rsidRPr="00C574F8">
        <w:rPr>
          <w:rFonts w:asciiTheme="minorHAnsi" w:hAnsiTheme="minorHAnsi" w:cstheme="minorHAnsi"/>
          <w:i/>
          <w:szCs w:val="22"/>
          <w:lang w:val="pt-BR"/>
        </w:rPr>
        <w:t>levellers</w:t>
      </w:r>
      <w:proofErr w:type="spellEnd"/>
      <w:r w:rsidR="00C574F8">
        <w:rPr>
          <w:rFonts w:asciiTheme="minorHAnsi" w:hAnsiTheme="minorHAnsi" w:cstheme="minorHAnsi"/>
          <w:szCs w:val="22"/>
          <w:lang w:val="pt-BR"/>
        </w:rPr>
        <w:t xml:space="preserve"> n</w:t>
      </w:r>
      <w:r w:rsidR="00C574F8" w:rsidRPr="00C574F8">
        <w:rPr>
          <w:rFonts w:asciiTheme="minorHAnsi" w:hAnsiTheme="minorHAnsi" w:cstheme="minorHAnsi"/>
          <w:szCs w:val="22"/>
          <w:lang w:val="pt-BR"/>
        </w:rPr>
        <w:t xml:space="preserve">os debates de </w:t>
      </w:r>
      <w:proofErr w:type="spellStart"/>
      <w:r w:rsidR="00C574F8" w:rsidRPr="00C574F8">
        <w:rPr>
          <w:rFonts w:asciiTheme="minorHAnsi" w:hAnsiTheme="minorHAnsi" w:cstheme="minorHAnsi"/>
          <w:szCs w:val="22"/>
          <w:lang w:val="pt-BR"/>
        </w:rPr>
        <w:t>Putney</w:t>
      </w:r>
      <w:proofErr w:type="spellEnd"/>
      <w:r w:rsidR="00C574F8" w:rsidRPr="00C574F8">
        <w:rPr>
          <w:rFonts w:asciiTheme="minorHAnsi" w:hAnsiTheme="minorHAnsi" w:cstheme="minorHAnsi"/>
          <w:szCs w:val="22"/>
          <w:lang w:val="pt-BR"/>
        </w:rPr>
        <w:t>, 1647</w:t>
      </w:r>
      <w:r w:rsidR="009D6D93">
        <w:rPr>
          <w:rFonts w:asciiTheme="minorHAnsi" w:hAnsiTheme="minorHAnsi" w:cstheme="minorHAnsi"/>
          <w:szCs w:val="22"/>
          <w:lang w:val="pt-BR"/>
        </w:rPr>
        <w:t>- prós e contra o sufrágio universal</w:t>
      </w:r>
      <w:r w:rsidR="00C574F8" w:rsidRPr="00C574F8">
        <w:rPr>
          <w:rFonts w:asciiTheme="minorHAnsi" w:hAnsiTheme="minorHAnsi" w:cstheme="minorHAnsi"/>
          <w:szCs w:val="22"/>
          <w:lang w:val="pt-BR"/>
        </w:rPr>
        <w:t>)</w:t>
      </w:r>
    </w:p>
    <w:p w14:paraId="79D531F0" w14:textId="77777777" w:rsidR="009D6D93" w:rsidRPr="00C574F8" w:rsidRDefault="009D6D93" w:rsidP="00A56151">
      <w:pPr>
        <w:pStyle w:val="PargrafodaLista"/>
        <w:numPr>
          <w:ilvl w:val="0"/>
          <w:numId w:val="2"/>
        </w:numPr>
        <w:spacing w:after="120" w:line="240" w:lineRule="auto"/>
        <w:rPr>
          <w:rFonts w:asciiTheme="minorHAnsi" w:hAnsiTheme="minorHAnsi" w:cstheme="minorHAnsi"/>
          <w:szCs w:val="22"/>
          <w:lang w:val="pt-BR"/>
        </w:rPr>
      </w:pPr>
      <w:r>
        <w:rPr>
          <w:rFonts w:asciiTheme="minorHAnsi" w:hAnsiTheme="minorHAnsi" w:cstheme="minorHAnsi"/>
          <w:szCs w:val="22"/>
          <w:lang w:val="pt-BR"/>
        </w:rPr>
        <w:t>A Revolução Francesa: os direitos políticos como direitos humanos (a Constituição de 1793)</w:t>
      </w:r>
    </w:p>
    <w:p w14:paraId="02E9AEF7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szCs w:val="22"/>
          <w:lang w:val="pt-BR"/>
        </w:rPr>
      </w:pPr>
    </w:p>
    <w:p w14:paraId="59E9E710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szCs w:val="22"/>
          <w:lang w:val="pt-BR"/>
        </w:rPr>
      </w:pPr>
    </w:p>
    <w:p w14:paraId="7D522688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b/>
          <w:szCs w:val="22"/>
          <w:lang w:val="pt-BR"/>
        </w:rPr>
      </w:pPr>
      <w:r w:rsidRPr="00A56151">
        <w:rPr>
          <w:rFonts w:asciiTheme="minorHAnsi" w:hAnsiTheme="minorHAnsi" w:cstheme="minorHAnsi"/>
          <w:b/>
          <w:szCs w:val="22"/>
          <w:lang w:val="pt-BR"/>
        </w:rPr>
        <w:t>IV - AVALIAÇÃO</w:t>
      </w:r>
    </w:p>
    <w:p w14:paraId="539D1874" w14:textId="77777777" w:rsidR="00A56151" w:rsidRDefault="001A7E36" w:rsidP="001A7E36">
      <w:pPr>
        <w:spacing w:after="120" w:line="240" w:lineRule="auto"/>
        <w:jc w:val="both"/>
        <w:rPr>
          <w:rFonts w:asciiTheme="minorHAnsi" w:hAnsiTheme="minorHAnsi" w:cstheme="minorHAnsi"/>
          <w:bCs/>
          <w:szCs w:val="22"/>
          <w:lang w:val="pt-BR"/>
        </w:rPr>
      </w:pPr>
      <w:r>
        <w:rPr>
          <w:rFonts w:asciiTheme="minorHAnsi" w:hAnsiTheme="minorHAnsi" w:cstheme="minorHAnsi"/>
          <w:bCs/>
          <w:szCs w:val="22"/>
          <w:lang w:val="pt-BR"/>
        </w:rPr>
        <w:t>A avaliação será combinada com os alunos, a partir do plano de aula relativo à modalidade remota da disciplina.</w:t>
      </w:r>
    </w:p>
    <w:p w14:paraId="4CC00D74" w14:textId="77777777" w:rsidR="001A7E36" w:rsidRPr="00A56151" w:rsidRDefault="001A7E36" w:rsidP="001A7E36">
      <w:pPr>
        <w:spacing w:after="120" w:line="240" w:lineRule="auto"/>
        <w:jc w:val="both"/>
        <w:rPr>
          <w:rFonts w:asciiTheme="minorHAnsi" w:hAnsiTheme="minorHAnsi" w:cstheme="minorHAnsi"/>
          <w:b/>
          <w:szCs w:val="22"/>
          <w:lang w:val="pt-BR"/>
        </w:rPr>
      </w:pPr>
    </w:p>
    <w:p w14:paraId="7ED109E2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b/>
          <w:szCs w:val="22"/>
          <w:lang w:val="pt-BR"/>
        </w:rPr>
      </w:pPr>
      <w:r w:rsidRPr="00A56151">
        <w:rPr>
          <w:rFonts w:asciiTheme="minorHAnsi" w:hAnsiTheme="minorHAnsi" w:cstheme="minorHAnsi"/>
          <w:b/>
          <w:szCs w:val="22"/>
          <w:lang w:val="pt-BR"/>
        </w:rPr>
        <w:t xml:space="preserve">V – BIBLIOGRAFIA DE REFERÊNCIA </w:t>
      </w:r>
    </w:p>
    <w:p w14:paraId="34750EC6" w14:textId="77777777" w:rsidR="00A56151" w:rsidRPr="00A56151" w:rsidRDefault="00A56151" w:rsidP="00A56151">
      <w:pPr>
        <w:pStyle w:val="NormalWeb"/>
        <w:spacing w:before="0" w:beforeAutospacing="0" w:after="120" w:afterAutospacing="0"/>
        <w:rPr>
          <w:rFonts w:asciiTheme="minorHAnsi" w:hAnsiTheme="minorHAnsi" w:cstheme="minorHAnsi"/>
          <w:lang w:val="pt-BR"/>
        </w:rPr>
      </w:pPr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ÁLVAREZ, F.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Bouza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.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Decir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y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oír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en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el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Siglo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de Oro.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Comunicación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política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de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las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casas de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conversación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a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la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República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de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las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Letras,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en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M.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Peña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Díaz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(ed.), </w:t>
      </w:r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 xml:space="preserve">Vida cotidiana </w:t>
      </w:r>
      <w:proofErr w:type="spellStart"/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>en</w:t>
      </w:r>
      <w:proofErr w:type="spellEnd"/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>el</w:t>
      </w:r>
      <w:proofErr w:type="spellEnd"/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 xml:space="preserve"> mundo </w:t>
      </w:r>
      <w:proofErr w:type="spellStart"/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>hispánico</w:t>
      </w:r>
      <w:proofErr w:type="spellEnd"/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 xml:space="preserve"> (</w:t>
      </w:r>
      <w:proofErr w:type="spellStart"/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>siglos</w:t>
      </w:r>
      <w:proofErr w:type="spellEnd"/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 xml:space="preserve"> XVI-XVIII)</w:t>
      </w:r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,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Adaba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, 2012. </w:t>
      </w:r>
    </w:p>
    <w:p w14:paraId="09C49C86" w14:textId="77777777" w:rsidR="00A56151" w:rsidRPr="00A56151" w:rsidRDefault="00A56151" w:rsidP="00A56151">
      <w:pPr>
        <w:pStyle w:val="NormalWeb"/>
        <w:spacing w:before="0" w:beforeAutospacing="0" w:after="120" w:afterAutospacing="0"/>
        <w:rPr>
          <w:rFonts w:asciiTheme="minorHAnsi" w:hAnsiTheme="minorHAnsi" w:cstheme="minorHAnsi"/>
          <w:color w:val="000007"/>
          <w:sz w:val="22"/>
          <w:szCs w:val="22"/>
        </w:rPr>
      </w:pPr>
      <w:r w:rsidRPr="00A56151">
        <w:rPr>
          <w:rFonts w:asciiTheme="minorHAnsi" w:hAnsiTheme="minorHAnsi" w:cstheme="minorHAnsi"/>
          <w:color w:val="000007"/>
          <w:sz w:val="22"/>
          <w:szCs w:val="22"/>
        </w:rPr>
        <w:t xml:space="preserve">ASTON, Trevor (org.), </w:t>
      </w:r>
      <w:r w:rsidRPr="00A56151">
        <w:rPr>
          <w:rFonts w:asciiTheme="minorHAnsi" w:hAnsiTheme="minorHAnsi" w:cstheme="minorHAnsi"/>
          <w:i/>
          <w:color w:val="000007"/>
          <w:sz w:val="22"/>
          <w:szCs w:val="22"/>
        </w:rPr>
        <w:t>Crisis in Europa, 1560-1660</w:t>
      </w:r>
      <w:r w:rsidRPr="00A56151">
        <w:rPr>
          <w:rFonts w:asciiTheme="minorHAnsi" w:hAnsiTheme="minorHAnsi" w:cstheme="minorHAnsi"/>
          <w:color w:val="000007"/>
          <w:sz w:val="22"/>
          <w:szCs w:val="22"/>
        </w:rPr>
        <w:t>, Madrid, Alianza, 1983.</w:t>
      </w:r>
    </w:p>
    <w:p w14:paraId="56B564F2" w14:textId="77777777" w:rsidR="00A56151" w:rsidRPr="00A56151" w:rsidRDefault="00A56151" w:rsidP="00A56151">
      <w:pPr>
        <w:pStyle w:val="NormalWeb"/>
        <w:spacing w:before="0" w:beforeAutospacing="0" w:after="120" w:afterAutospacing="0"/>
        <w:rPr>
          <w:rFonts w:asciiTheme="minorHAnsi" w:hAnsiTheme="minorHAnsi" w:cstheme="minorHAnsi"/>
          <w:lang w:val="pt-BR"/>
        </w:rPr>
      </w:pPr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BARRIENTOS, J.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Álvarez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.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Sociabilidad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literaria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: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tertulias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y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cafés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en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el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siglo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XVIII,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en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J.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Álvarez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Barrientos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, </w:t>
      </w:r>
      <w:proofErr w:type="spellStart"/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>Espacios</w:t>
      </w:r>
      <w:proofErr w:type="spellEnd"/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 xml:space="preserve"> de </w:t>
      </w:r>
      <w:proofErr w:type="spellStart"/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>comunicación</w:t>
      </w:r>
      <w:proofErr w:type="spellEnd"/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>literaria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, Madrid, CSIC, 2002. </w:t>
      </w:r>
    </w:p>
    <w:p w14:paraId="07EE6E76" w14:textId="77777777" w:rsidR="00A56151" w:rsidRPr="00A56151" w:rsidRDefault="00A56151" w:rsidP="00A56151">
      <w:pPr>
        <w:pStyle w:val="NormalWeb"/>
        <w:spacing w:before="0" w:beforeAutospacing="0" w:after="120" w:afterAutospacing="0"/>
        <w:rPr>
          <w:rFonts w:asciiTheme="minorHAnsi" w:hAnsiTheme="minorHAnsi" w:cstheme="minorHAnsi"/>
          <w:lang w:val="pt-BR"/>
        </w:rPr>
      </w:pPr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BAUBÉROT, Jean. (1993), "</w:t>
      </w:r>
      <w:proofErr w:type="spellStart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>Estratégias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da Liberdade", in C. Sahel (org.), </w:t>
      </w:r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 xml:space="preserve">A </w:t>
      </w:r>
      <w:proofErr w:type="spellStart"/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>Tolerância</w:t>
      </w:r>
      <w:proofErr w:type="spellEnd"/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. Porto Alegre, L&amp;PM. </w:t>
      </w:r>
    </w:p>
    <w:p w14:paraId="61105079" w14:textId="77777777" w:rsidR="00A56151" w:rsidRPr="0032662B" w:rsidRDefault="00A56151" w:rsidP="00A56151">
      <w:pPr>
        <w:spacing w:after="120" w:line="240" w:lineRule="auto"/>
        <w:rPr>
          <w:rFonts w:asciiTheme="minorHAnsi" w:hAnsiTheme="minorHAnsi" w:cstheme="minorHAnsi"/>
          <w:color w:val="000007"/>
          <w:szCs w:val="22"/>
          <w:lang w:val="pt-BR"/>
        </w:rPr>
      </w:pP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CHRISTIN, Olivier. </w:t>
      </w:r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La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Paix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de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Religion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. </w:t>
      </w:r>
      <w:r w:rsidRPr="00A56151">
        <w:rPr>
          <w:rFonts w:asciiTheme="minorHAnsi" w:hAnsiTheme="minorHAnsi" w:cstheme="minorHAnsi"/>
          <w:i/>
          <w:color w:val="000007"/>
          <w:szCs w:val="22"/>
          <w:lang w:val="it-IT"/>
        </w:rPr>
        <w:t>L'Automisation de la Raison Politique au XVIe Siècle</w:t>
      </w:r>
      <w:r w:rsidRPr="00A56151">
        <w:rPr>
          <w:rFonts w:asciiTheme="minorHAnsi" w:hAnsiTheme="minorHAnsi" w:cstheme="minorHAnsi"/>
          <w:color w:val="000007"/>
          <w:szCs w:val="22"/>
          <w:lang w:val="it-IT"/>
        </w:rPr>
        <w:t xml:space="preserve">. </w:t>
      </w:r>
      <w:r w:rsidRPr="0032662B">
        <w:rPr>
          <w:rFonts w:asciiTheme="minorHAnsi" w:hAnsiTheme="minorHAnsi" w:cstheme="minorHAnsi"/>
          <w:color w:val="000007"/>
          <w:szCs w:val="22"/>
          <w:lang w:val="pt-BR"/>
        </w:rPr>
        <w:t>Paris, Seuil,</w:t>
      </w:r>
    </w:p>
    <w:p w14:paraId="49EC2738" w14:textId="77777777" w:rsidR="00A56151" w:rsidRDefault="00A56151" w:rsidP="00A56151">
      <w:pPr>
        <w:spacing w:after="120" w:line="240" w:lineRule="auto"/>
        <w:rPr>
          <w:rFonts w:asciiTheme="minorHAnsi" w:hAnsiTheme="minorHAnsi" w:cstheme="minorHAnsi"/>
          <w:color w:val="000007"/>
          <w:szCs w:val="22"/>
          <w:lang w:val="pt-BR"/>
        </w:rPr>
      </w:pPr>
      <w:r w:rsidRPr="00A56151">
        <w:rPr>
          <w:rFonts w:asciiTheme="minorHAnsi" w:hAnsiTheme="minorHAnsi" w:cstheme="minorHAnsi"/>
          <w:color w:val="000007"/>
          <w:szCs w:val="22"/>
          <w:lang w:val="pt-BR"/>
        </w:rPr>
        <w:lastRenderedPageBreak/>
        <w:t xml:space="preserve">DÍAZ, M.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Escribir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y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prohibir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.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Inquisición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y censura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en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los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Siglos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de Oro</w:t>
      </w: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, </w:t>
      </w:r>
      <w:proofErr w:type="spellStart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>Cátedra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, 2015. </w:t>
      </w:r>
    </w:p>
    <w:p w14:paraId="03A97374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lang w:val="pt-BR"/>
        </w:rPr>
      </w:pP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FRANÇA, Eduardo D'Oliveira. </w:t>
      </w:r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Portugal na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Época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da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Restauração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, </w:t>
      </w:r>
      <w:proofErr w:type="spellStart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>São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 Paulo, </w:t>
      </w:r>
      <w:proofErr w:type="spellStart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>Hucitec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>, 1997.</w:t>
      </w:r>
    </w:p>
    <w:p w14:paraId="16BED008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sz w:val="24"/>
          <w:lang w:val="pt-BR"/>
        </w:rPr>
      </w:pPr>
      <w:r w:rsidRPr="0032662B">
        <w:rPr>
          <w:rFonts w:asciiTheme="minorHAnsi" w:hAnsiTheme="minorHAnsi" w:cstheme="minorHAnsi"/>
          <w:color w:val="000007"/>
          <w:szCs w:val="22"/>
          <w:lang w:val="pt-BR"/>
        </w:rPr>
        <w:t xml:space="preserve">GAUCHET, Marcel. </w:t>
      </w:r>
      <w:r w:rsidRPr="0032662B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El </w:t>
      </w:r>
      <w:proofErr w:type="spellStart"/>
      <w:r w:rsidRPr="0032662B">
        <w:rPr>
          <w:rFonts w:asciiTheme="minorHAnsi" w:hAnsiTheme="minorHAnsi" w:cstheme="minorHAnsi"/>
          <w:i/>
          <w:color w:val="000007"/>
          <w:szCs w:val="22"/>
          <w:lang w:val="pt-BR"/>
        </w:rPr>
        <w:t>Desencantamiento</w:t>
      </w:r>
      <w:proofErr w:type="spellEnd"/>
      <w:r w:rsidRPr="0032662B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</w:t>
      </w:r>
      <w:proofErr w:type="spellStart"/>
      <w:r w:rsidRPr="0032662B">
        <w:rPr>
          <w:rFonts w:asciiTheme="minorHAnsi" w:hAnsiTheme="minorHAnsi" w:cstheme="minorHAnsi"/>
          <w:i/>
          <w:color w:val="000007"/>
          <w:szCs w:val="22"/>
          <w:lang w:val="pt-BR"/>
        </w:rPr>
        <w:t>del</w:t>
      </w:r>
      <w:proofErr w:type="spellEnd"/>
      <w:r w:rsidRPr="0032662B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Mundo: Una </w:t>
      </w:r>
      <w:proofErr w:type="gramStart"/>
      <w:r w:rsidRPr="0032662B">
        <w:rPr>
          <w:rFonts w:asciiTheme="minorHAnsi" w:hAnsiTheme="minorHAnsi" w:cstheme="minorHAnsi"/>
          <w:i/>
          <w:color w:val="000007"/>
          <w:szCs w:val="22"/>
          <w:lang w:val="pt-BR"/>
        </w:rPr>
        <w:t>Historia</w:t>
      </w:r>
      <w:proofErr w:type="gramEnd"/>
      <w:r w:rsidRPr="0032662B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</w:t>
      </w:r>
      <w:proofErr w:type="spellStart"/>
      <w:r w:rsidRPr="0032662B">
        <w:rPr>
          <w:rFonts w:asciiTheme="minorHAnsi" w:hAnsiTheme="minorHAnsi" w:cstheme="minorHAnsi"/>
          <w:i/>
          <w:color w:val="000007"/>
          <w:szCs w:val="22"/>
          <w:lang w:val="pt-BR"/>
        </w:rPr>
        <w:t>política</w:t>
      </w:r>
      <w:proofErr w:type="spellEnd"/>
      <w:r w:rsidRPr="0032662B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de </w:t>
      </w:r>
      <w:proofErr w:type="spellStart"/>
      <w:r w:rsidRPr="0032662B">
        <w:rPr>
          <w:rFonts w:asciiTheme="minorHAnsi" w:hAnsiTheme="minorHAnsi" w:cstheme="minorHAnsi"/>
          <w:i/>
          <w:color w:val="000007"/>
          <w:szCs w:val="22"/>
          <w:lang w:val="pt-BR"/>
        </w:rPr>
        <w:t>la</w:t>
      </w:r>
      <w:proofErr w:type="spellEnd"/>
      <w:r w:rsidRPr="0032662B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</w:t>
      </w:r>
      <w:proofErr w:type="spellStart"/>
      <w:r w:rsidRPr="0032662B">
        <w:rPr>
          <w:rFonts w:asciiTheme="minorHAnsi" w:hAnsiTheme="minorHAnsi" w:cstheme="minorHAnsi"/>
          <w:i/>
          <w:color w:val="000007"/>
          <w:szCs w:val="22"/>
          <w:lang w:val="pt-BR"/>
        </w:rPr>
        <w:t>religión</w:t>
      </w:r>
      <w:proofErr w:type="spellEnd"/>
      <w:r w:rsidRPr="0032662B">
        <w:rPr>
          <w:rFonts w:asciiTheme="minorHAnsi" w:hAnsiTheme="minorHAnsi" w:cstheme="minorHAnsi"/>
          <w:color w:val="000007"/>
          <w:szCs w:val="22"/>
          <w:lang w:val="pt-BR"/>
        </w:rPr>
        <w:t xml:space="preserve">. Madrid: Editorial </w:t>
      </w:r>
      <w:proofErr w:type="spellStart"/>
      <w:r w:rsidRPr="0032662B">
        <w:rPr>
          <w:rFonts w:asciiTheme="minorHAnsi" w:hAnsiTheme="minorHAnsi" w:cstheme="minorHAnsi"/>
          <w:color w:val="000007"/>
          <w:szCs w:val="22"/>
          <w:lang w:val="pt-BR"/>
        </w:rPr>
        <w:t>Trotta</w:t>
      </w:r>
      <w:proofErr w:type="spellEnd"/>
      <w:r w:rsidRPr="0032662B">
        <w:rPr>
          <w:rFonts w:asciiTheme="minorHAnsi" w:hAnsiTheme="minorHAnsi" w:cstheme="minorHAnsi"/>
          <w:color w:val="000007"/>
          <w:szCs w:val="22"/>
          <w:lang w:val="pt-BR"/>
        </w:rPr>
        <w:t>, 2005.</w:t>
      </w:r>
    </w:p>
    <w:p w14:paraId="313F80CC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color w:val="000007"/>
          <w:szCs w:val="22"/>
        </w:rPr>
      </w:pP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HAZARD, Paul. </w:t>
      </w:r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Crise da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consciência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europeia (1680-1715).</w:t>
      </w: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 </w:t>
      </w:r>
      <w:r w:rsidRPr="00A56151">
        <w:rPr>
          <w:rFonts w:asciiTheme="minorHAnsi" w:hAnsiTheme="minorHAnsi" w:cstheme="minorHAnsi"/>
          <w:color w:val="000007"/>
          <w:szCs w:val="22"/>
        </w:rPr>
        <w:t xml:space="preserve">Trad. </w:t>
      </w:r>
      <w:proofErr w:type="spellStart"/>
      <w:r w:rsidRPr="00A56151">
        <w:rPr>
          <w:rFonts w:asciiTheme="minorHAnsi" w:hAnsiTheme="minorHAnsi" w:cstheme="minorHAnsi"/>
          <w:color w:val="000007"/>
          <w:szCs w:val="22"/>
        </w:rPr>
        <w:t>Lisboa</w:t>
      </w:r>
      <w:proofErr w:type="spellEnd"/>
      <w:r w:rsidRPr="00A56151">
        <w:rPr>
          <w:rFonts w:asciiTheme="minorHAnsi" w:hAnsiTheme="minorHAnsi" w:cstheme="minorHAnsi"/>
          <w:color w:val="000007"/>
          <w:szCs w:val="22"/>
        </w:rPr>
        <w:t xml:space="preserve">: Cosmos, 1948 </w:t>
      </w:r>
    </w:p>
    <w:p w14:paraId="6C3CED4B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color w:val="000007"/>
          <w:szCs w:val="22"/>
          <w:lang w:val="pt-BR"/>
        </w:rPr>
      </w:pPr>
      <w:r w:rsidRPr="00A56151">
        <w:rPr>
          <w:rFonts w:asciiTheme="minorHAnsi" w:hAnsiTheme="minorHAnsi" w:cstheme="minorHAnsi"/>
          <w:color w:val="000007"/>
          <w:szCs w:val="22"/>
        </w:rPr>
        <w:t xml:space="preserve">HILL, Christopher. </w:t>
      </w:r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Origens Intelectuais da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Revolução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Inglesa</w:t>
      </w: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. </w:t>
      </w:r>
      <w:proofErr w:type="spellStart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>São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 Paulo, Martins Fontes, 1992.</w:t>
      </w:r>
    </w:p>
    <w:p w14:paraId="7868589E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color w:val="000007"/>
          <w:szCs w:val="22"/>
          <w:lang w:val="pt-BR"/>
        </w:rPr>
      </w:pP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ISRAEL, Jonathan. </w:t>
      </w:r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Iluminismo radical – a filosofia e a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construção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da modernidade</w:t>
      </w: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, 1650-1750. </w:t>
      </w:r>
      <w:proofErr w:type="spellStart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>São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 Paulo: Madras, 2009[2001].</w:t>
      </w:r>
    </w:p>
    <w:p w14:paraId="561CA7B3" w14:textId="77777777" w:rsidR="00A56151" w:rsidRDefault="00A56151" w:rsidP="00A56151">
      <w:pPr>
        <w:spacing w:after="120" w:line="240" w:lineRule="auto"/>
        <w:rPr>
          <w:rFonts w:asciiTheme="minorHAnsi" w:hAnsiTheme="minorHAnsi" w:cstheme="minorHAnsi"/>
          <w:color w:val="000007"/>
          <w:szCs w:val="22"/>
          <w:lang w:val="pt-BR"/>
        </w:rPr>
      </w:pP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J. </w:t>
      </w:r>
      <w:proofErr w:type="spellStart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>Gascón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>Pérez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, </w:t>
      </w:r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La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rebelión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de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las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palabras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: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sátiras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y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oposición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política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en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Aragón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 (1590-1626), Zaragoza, 2003 </w:t>
      </w:r>
    </w:p>
    <w:p w14:paraId="245A5313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color w:val="000007"/>
          <w:szCs w:val="22"/>
          <w:lang w:val="pt-BR"/>
        </w:rPr>
      </w:pP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KOSELLECK, Reinhart.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Crítica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e Crise: uma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contribuição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à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patogênese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do mundo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burguês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. Rio de Janeiro, </w:t>
      </w:r>
      <w:proofErr w:type="spellStart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>Eduerj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>: Contraponto, 1999\</w:t>
      </w:r>
    </w:p>
    <w:p w14:paraId="3831B999" w14:textId="77777777" w:rsidR="00A56151" w:rsidRPr="00A56151" w:rsidRDefault="00A56151" w:rsidP="00A56151">
      <w:pPr>
        <w:pStyle w:val="NormalWeb"/>
        <w:spacing w:before="0" w:beforeAutospacing="0" w:after="120" w:afterAutospacing="0"/>
        <w:rPr>
          <w:rFonts w:asciiTheme="minorHAnsi" w:hAnsiTheme="minorHAnsi" w:cstheme="minorHAnsi"/>
          <w:color w:val="000007"/>
          <w:sz w:val="22"/>
          <w:szCs w:val="22"/>
          <w:lang w:val="pt-BR"/>
        </w:rPr>
      </w:pPr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KRANTZ, F. (org.). A OUTRA </w:t>
      </w:r>
      <w:proofErr w:type="spellStart"/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>história</w:t>
      </w:r>
      <w:proofErr w:type="spellEnd"/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 xml:space="preserve">. Ideologia e protesto popular nos </w:t>
      </w:r>
      <w:proofErr w:type="spellStart"/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>séculos</w:t>
      </w:r>
      <w:proofErr w:type="spellEnd"/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 xml:space="preserve"> XVI </w:t>
      </w:r>
      <w:proofErr w:type="spellStart"/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>a</w:t>
      </w:r>
      <w:proofErr w:type="spellEnd"/>
      <w:r w:rsidRPr="00A56151">
        <w:rPr>
          <w:rFonts w:asciiTheme="minorHAnsi" w:hAnsiTheme="minorHAnsi" w:cstheme="minorHAnsi"/>
          <w:i/>
          <w:color w:val="000007"/>
          <w:sz w:val="22"/>
          <w:szCs w:val="22"/>
          <w:lang w:val="pt-BR"/>
        </w:rPr>
        <w:t xml:space="preserve"> XIX.</w:t>
      </w:r>
      <w:r w:rsidRPr="00A56151">
        <w:rPr>
          <w:rFonts w:asciiTheme="minorHAnsi" w:hAnsiTheme="minorHAnsi" w:cstheme="minorHAnsi"/>
          <w:color w:val="000007"/>
          <w:sz w:val="22"/>
          <w:szCs w:val="22"/>
          <w:lang w:val="pt-BR"/>
        </w:rPr>
        <w:t xml:space="preserve"> Rio de Janeiro, Jorge Zahar, 1990.</w:t>
      </w:r>
    </w:p>
    <w:p w14:paraId="66A9F72D" w14:textId="77777777" w:rsidR="00A56151" w:rsidRDefault="00A56151" w:rsidP="00A56151">
      <w:pPr>
        <w:spacing w:after="120" w:line="240" w:lineRule="auto"/>
        <w:rPr>
          <w:rFonts w:asciiTheme="minorHAnsi" w:hAnsiTheme="minorHAnsi" w:cstheme="minorHAnsi"/>
          <w:color w:val="000007"/>
          <w:szCs w:val="22"/>
          <w:lang w:val="pt-BR"/>
        </w:rPr>
      </w:pP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LE ROY LADURIE, Emmanuel. </w:t>
      </w:r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O Estado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monárquico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: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França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, 1460-1610</w:t>
      </w: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, </w:t>
      </w:r>
      <w:proofErr w:type="spellStart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>São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 Paulo, Companhia das Letras, 1994.</w:t>
      </w:r>
    </w:p>
    <w:p w14:paraId="217C55F6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color w:val="000007"/>
          <w:szCs w:val="22"/>
          <w:lang w:val="pt-BR"/>
        </w:rPr>
      </w:pP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LÓPEZ, T.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Sátiras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políticas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de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la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España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moderna</w:t>
      </w:r>
      <w:r w:rsidRPr="00A56151">
        <w:rPr>
          <w:rFonts w:asciiTheme="minorHAnsi" w:hAnsiTheme="minorHAnsi" w:cstheme="minorHAnsi"/>
          <w:color w:val="000007"/>
          <w:szCs w:val="22"/>
          <w:lang w:val="pt-BR"/>
        </w:rPr>
        <w:t>. Madrid, Alianza, 1973</w:t>
      </w:r>
    </w:p>
    <w:p w14:paraId="39FA8553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color w:val="000007"/>
          <w:szCs w:val="22"/>
          <w:lang w:val="pt-BR"/>
        </w:rPr>
      </w:pP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MARAVALL, J. A. </w:t>
      </w:r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La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oposición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política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bajo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los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Austrias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>, Barcelona, Ariel, 1972.</w:t>
      </w:r>
    </w:p>
    <w:p w14:paraId="5AD99B84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color w:val="000007"/>
          <w:szCs w:val="22"/>
          <w:lang w:val="pt-BR"/>
        </w:rPr>
      </w:pP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MONTEIRO, N. G. e CUNHA, M., Velhas formas: a casa e a comunidade na </w:t>
      </w:r>
      <w:proofErr w:type="spellStart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>mobilização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>política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, in J. Mattoso (dir.),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História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da Vida Privada em Portugal</w:t>
      </w:r>
      <w:r w:rsidRPr="00A56151">
        <w:rPr>
          <w:rFonts w:asciiTheme="minorHAnsi" w:hAnsiTheme="minorHAnsi" w:cstheme="minorHAnsi"/>
          <w:color w:val="000007"/>
          <w:szCs w:val="22"/>
          <w:lang w:val="pt-BR"/>
        </w:rPr>
        <w:t>, vol. 2, Temas e Debates, 2011.</w:t>
      </w:r>
    </w:p>
    <w:p w14:paraId="692FF30A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color w:val="000007"/>
          <w:szCs w:val="22"/>
          <w:lang w:val="pt-BR"/>
        </w:rPr>
      </w:pPr>
      <w:r>
        <w:rPr>
          <w:rFonts w:asciiTheme="minorHAnsi" w:hAnsiTheme="minorHAnsi" w:cstheme="minorHAnsi"/>
          <w:color w:val="000007"/>
          <w:szCs w:val="22"/>
          <w:lang w:val="pt-BR"/>
        </w:rPr>
        <w:t>P</w:t>
      </w: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OPKIN, R.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História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do Ceticismo de Erasmo a Spinoza</w:t>
      </w:r>
      <w:r w:rsidRPr="00A56151">
        <w:rPr>
          <w:rFonts w:asciiTheme="minorHAnsi" w:hAnsiTheme="minorHAnsi" w:cstheme="minorHAnsi"/>
          <w:color w:val="000007"/>
          <w:szCs w:val="22"/>
          <w:lang w:val="pt-BR"/>
        </w:rPr>
        <w:t>. Rio de Janeiro: Francisco Alves, 2000.</w:t>
      </w:r>
    </w:p>
    <w:p w14:paraId="6F8BA989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color w:val="000007"/>
          <w:szCs w:val="22"/>
          <w:lang w:val="pt-BR"/>
        </w:rPr>
      </w:pP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OSTRENSKY, Eunice. </w:t>
      </w:r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As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Revoluções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do poder</w:t>
      </w: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. </w:t>
      </w:r>
      <w:proofErr w:type="spellStart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>São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 Paulo: Alameda, 2005.</w:t>
      </w:r>
    </w:p>
    <w:p w14:paraId="5BF3E3FB" w14:textId="77777777" w:rsidR="00A56151" w:rsidRPr="0032662B" w:rsidRDefault="00A56151" w:rsidP="00A56151">
      <w:pPr>
        <w:spacing w:after="120" w:line="240" w:lineRule="auto"/>
        <w:rPr>
          <w:rFonts w:asciiTheme="minorHAnsi" w:hAnsiTheme="minorHAnsi" w:cstheme="minorHAnsi"/>
          <w:color w:val="000007"/>
          <w:szCs w:val="22"/>
          <w:lang w:val="pt-BR"/>
        </w:rPr>
      </w:pP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POCOCK, J. G. A. </w:t>
      </w:r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Linguagens do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Ideário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Político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. </w:t>
      </w:r>
      <w:proofErr w:type="spellStart"/>
      <w:r w:rsidRPr="0032662B">
        <w:rPr>
          <w:rFonts w:asciiTheme="minorHAnsi" w:hAnsiTheme="minorHAnsi" w:cstheme="minorHAnsi"/>
          <w:color w:val="000007"/>
          <w:szCs w:val="22"/>
          <w:lang w:val="pt-BR"/>
        </w:rPr>
        <w:t>São</w:t>
      </w:r>
      <w:proofErr w:type="spellEnd"/>
      <w:r w:rsidRPr="0032662B">
        <w:rPr>
          <w:rFonts w:asciiTheme="minorHAnsi" w:hAnsiTheme="minorHAnsi" w:cstheme="minorHAnsi"/>
          <w:color w:val="000007"/>
          <w:szCs w:val="22"/>
          <w:lang w:val="pt-BR"/>
        </w:rPr>
        <w:t xml:space="preserve"> Paulo: Edusp, 2003.</w:t>
      </w:r>
    </w:p>
    <w:p w14:paraId="367DEDB9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color w:val="000007"/>
          <w:szCs w:val="22"/>
          <w:lang w:val="pt-BR"/>
        </w:rPr>
      </w:pP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SÁNCHEZ, C. A. </w:t>
      </w:r>
      <w:proofErr w:type="spellStart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>González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. </w:t>
      </w:r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Homo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viator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, homo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scribens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: cultura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gráfica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,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información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y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gobierno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en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la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expansión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atlántica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(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siglos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XV-XVII),</w:t>
      </w: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 Marcial Pons, Madrid, 2007.</w:t>
      </w:r>
    </w:p>
    <w:p w14:paraId="1815AE5F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color w:val="000007"/>
          <w:szCs w:val="22"/>
          <w:lang w:val="pt-BR"/>
        </w:rPr>
      </w:pP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STONE, L. </w:t>
      </w:r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Causas da </w:t>
      </w:r>
      <w:proofErr w:type="spellStart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Revolução</w:t>
      </w:r>
      <w:proofErr w:type="spellEnd"/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 Inglesa (1529-1642</w:t>
      </w: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). Editora </w:t>
      </w:r>
      <w:proofErr w:type="spellStart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>Edusc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>, Bauru, 2000.</w:t>
      </w:r>
    </w:p>
    <w:p w14:paraId="12CF3606" w14:textId="77777777" w:rsidR="00A56151" w:rsidRDefault="00A56151" w:rsidP="00A56151">
      <w:pPr>
        <w:spacing w:after="120" w:line="240" w:lineRule="auto"/>
        <w:rPr>
          <w:rFonts w:asciiTheme="minorHAnsi" w:hAnsiTheme="minorHAnsi" w:cstheme="minorHAnsi"/>
          <w:color w:val="000007"/>
          <w:szCs w:val="22"/>
          <w:lang w:val="pt-BR"/>
        </w:rPr>
      </w:pP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THOMPSON, Edward P. </w:t>
      </w:r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 xml:space="preserve">As Peculiaridades dos Ingleses e Outros </w:t>
      </w:r>
      <w:r w:rsidRPr="00A56151">
        <w:rPr>
          <w:rFonts w:ascii="MS Gothic" w:eastAsia="MS Gothic" w:hAnsi="MS Gothic" w:cs="MS Gothic" w:hint="eastAsia"/>
          <w:i/>
          <w:color w:val="000007"/>
          <w:szCs w:val="22"/>
          <w:lang w:val="pt-BR"/>
        </w:rPr>
        <w:t> </w:t>
      </w:r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Ensaios</w:t>
      </w:r>
      <w:r w:rsidRPr="00A56151">
        <w:rPr>
          <w:rFonts w:asciiTheme="minorHAnsi" w:hAnsiTheme="minorHAnsi" w:cstheme="minorHAnsi"/>
          <w:color w:val="000007"/>
          <w:szCs w:val="22"/>
          <w:lang w:val="pt-BR"/>
        </w:rPr>
        <w:t>. Campinas, Unicamp, 2001.</w:t>
      </w:r>
    </w:p>
    <w:p w14:paraId="325850E8" w14:textId="77777777" w:rsidR="00A56151" w:rsidRPr="00A56151" w:rsidRDefault="00A56151" w:rsidP="00A56151">
      <w:pPr>
        <w:spacing w:after="120" w:line="240" w:lineRule="auto"/>
        <w:rPr>
          <w:rFonts w:asciiTheme="minorHAnsi" w:hAnsiTheme="minorHAnsi" w:cstheme="minorHAnsi"/>
          <w:color w:val="000007"/>
          <w:szCs w:val="22"/>
          <w:lang w:val="pt-BR"/>
        </w:rPr>
      </w:pP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VENTURI, Franco. </w:t>
      </w:r>
      <w:r w:rsidRPr="00A56151">
        <w:rPr>
          <w:rFonts w:asciiTheme="minorHAnsi" w:hAnsiTheme="minorHAnsi" w:cstheme="minorHAnsi"/>
          <w:i/>
          <w:color w:val="000007"/>
          <w:szCs w:val="22"/>
          <w:lang w:val="pt-BR"/>
        </w:rPr>
        <w:t>Utopia e Reforma no Iluminismo</w:t>
      </w:r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. </w:t>
      </w:r>
      <w:proofErr w:type="spellStart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>São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 Paulo: </w:t>
      </w:r>
      <w:proofErr w:type="spellStart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>Edusc</w:t>
      </w:r>
      <w:proofErr w:type="spellEnd"/>
      <w:r w:rsidRPr="00A56151">
        <w:rPr>
          <w:rFonts w:asciiTheme="minorHAnsi" w:hAnsiTheme="minorHAnsi" w:cstheme="minorHAnsi"/>
          <w:color w:val="000007"/>
          <w:szCs w:val="22"/>
          <w:lang w:val="pt-BR"/>
        </w:rPr>
        <w:t xml:space="preserve">, 2003 </w:t>
      </w:r>
    </w:p>
    <w:sectPr w:rsidR="00A56151" w:rsidRPr="00A56151" w:rsidSect="00B12A5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A5404"/>
    <w:multiLevelType w:val="hybridMultilevel"/>
    <w:tmpl w:val="426CBDEA"/>
    <w:lvl w:ilvl="0" w:tplc="8BDE6E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F0EC9"/>
    <w:multiLevelType w:val="hybridMultilevel"/>
    <w:tmpl w:val="E96C74C0"/>
    <w:lvl w:ilvl="0" w:tplc="622C9E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151"/>
    <w:rsid w:val="000B060C"/>
    <w:rsid w:val="001A7E36"/>
    <w:rsid w:val="0032662B"/>
    <w:rsid w:val="004C5064"/>
    <w:rsid w:val="00573CF5"/>
    <w:rsid w:val="00702A3E"/>
    <w:rsid w:val="00946A39"/>
    <w:rsid w:val="009D6D93"/>
    <w:rsid w:val="00A56151"/>
    <w:rsid w:val="00B12A54"/>
    <w:rsid w:val="00C574F8"/>
    <w:rsid w:val="00DB3ECC"/>
    <w:rsid w:val="00F3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08E8"/>
  <w15:chartTrackingRefBased/>
  <w15:docId w15:val="{C8AF95FF-2AF1-6043-9334-31C603A3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151"/>
    <w:pPr>
      <w:spacing w:after="200" w:line="276" w:lineRule="auto"/>
    </w:pPr>
    <w:rPr>
      <w:rFonts w:ascii="Lucida Grande" w:eastAsia="ヒラギノ角ゴ Pro W3" w:hAnsi="Lucida Grande" w:cs="Times New Roman"/>
      <w:color w:val="000000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3">
    <w:name w:val="H3"/>
    <w:basedOn w:val="Normal"/>
    <w:next w:val="Normal"/>
    <w:rsid w:val="00A56151"/>
    <w:pPr>
      <w:keepNext/>
      <w:spacing w:before="100" w:after="100" w:line="240" w:lineRule="auto"/>
      <w:outlineLvl w:val="3"/>
    </w:pPr>
    <w:rPr>
      <w:rFonts w:ascii="Times New Roman" w:eastAsia="Times New Roman" w:hAnsi="Times New Roman"/>
      <w:b/>
      <w:snapToGrid w:val="0"/>
      <w:color w:val="auto"/>
      <w:sz w:val="28"/>
      <w:szCs w:val="20"/>
      <w:lang w:val="pt-BR" w:eastAsia="pt-BR"/>
    </w:rPr>
  </w:style>
  <w:style w:type="paragraph" w:styleId="NormalWeb">
    <w:name w:val="Normal (Web)"/>
    <w:basedOn w:val="Normal"/>
    <w:uiPriority w:val="99"/>
    <w:unhideWhenUsed/>
    <w:rsid w:val="00A5615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lang w:val="it-IT" w:eastAsia="it-IT"/>
    </w:rPr>
  </w:style>
  <w:style w:type="character" w:customStyle="1" w:styleId="txtarial8ptgray1">
    <w:name w:val="txt_arial_8pt_gray1"/>
    <w:basedOn w:val="Fontepargpadro"/>
    <w:rsid w:val="00A56151"/>
    <w:rPr>
      <w:rFonts w:ascii="Verdana" w:hAnsi="Verdana" w:hint="default"/>
      <w:color w:val="666666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46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970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Patuzzi</dc:creator>
  <cp:keywords/>
  <dc:description/>
  <cp:lastModifiedBy>Silvia Patuzzi</cp:lastModifiedBy>
  <cp:revision>2</cp:revision>
  <dcterms:created xsi:type="dcterms:W3CDTF">2026-07-23T20:39:00Z</dcterms:created>
  <dcterms:modified xsi:type="dcterms:W3CDTF">2026-07-23T20:39:00Z</dcterms:modified>
</cp:coreProperties>
</file>